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r w:rsidRPr="00A85EF2">
        <w:rPr>
          <w:b/>
          <w:sz w:val="28"/>
          <w:szCs w:val="28"/>
        </w:rPr>
        <w:t>Анализ</w:t>
      </w:r>
      <w:r w:rsidR="00E41262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состояния детского</w:t>
      </w:r>
      <w:r w:rsidR="00994B74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E41262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bookmarkEnd w:id="0"/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37053">
        <w:rPr>
          <w:color w:val="000000" w:themeColor="text1"/>
          <w:sz w:val="28"/>
          <w:szCs w:val="28"/>
        </w:rPr>
        <w:t>январь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B37053">
        <w:rPr>
          <w:color w:val="000000" w:themeColor="text1"/>
          <w:sz w:val="28"/>
          <w:szCs w:val="28"/>
        </w:rPr>
        <w:t>17</w:t>
      </w:r>
      <w:r w:rsidR="00C153CC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24</w:t>
      </w:r>
      <w:r w:rsidRPr="00FC676E">
        <w:rPr>
          <w:color w:val="000000" w:themeColor="text1"/>
          <w:sz w:val="28"/>
          <w:szCs w:val="28"/>
        </w:rPr>
        <w:t>; -</w:t>
      </w:r>
      <w:r w:rsidR="00B37053">
        <w:rPr>
          <w:color w:val="000000" w:themeColor="text1"/>
          <w:sz w:val="28"/>
          <w:szCs w:val="28"/>
        </w:rPr>
        <w:t>37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B37053">
        <w:rPr>
          <w:color w:val="000000" w:themeColor="text1"/>
          <w:sz w:val="28"/>
          <w:szCs w:val="28"/>
        </w:rPr>
        <w:t>20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B37053">
        <w:rPr>
          <w:color w:val="000000" w:themeColor="text1"/>
          <w:sz w:val="28"/>
          <w:szCs w:val="28"/>
        </w:rPr>
        <w:t>30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r w:rsidR="00B37053">
        <w:rPr>
          <w:color w:val="000000" w:themeColor="text1"/>
          <w:sz w:val="28"/>
          <w:szCs w:val="28"/>
        </w:rPr>
        <w:t>39,4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B37053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>% 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 xml:space="preserve">ДТП с погибшим </w:t>
      </w:r>
      <w:r w:rsidR="00B37053" w:rsidRPr="00DC0B00">
        <w:rPr>
          <w:sz w:val="28"/>
          <w:szCs w:val="28"/>
        </w:rPr>
        <w:t xml:space="preserve">ребенком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B37053" w:rsidRPr="00DC0B00">
        <w:rPr>
          <w:sz w:val="28"/>
          <w:szCs w:val="28"/>
        </w:rPr>
        <w:t>о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(+100%):</w:t>
      </w:r>
    </w:p>
    <w:p w:rsidR="00B37053" w:rsidRPr="005951B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8"/>
          <w:szCs w:val="28"/>
        </w:rPr>
      </w:pPr>
      <w:r w:rsidRPr="00DC0B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02.01.2021 года около 15 часов в </w:t>
      </w:r>
      <w:r w:rsidR="00B37053"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Каменск</w:t>
      </w:r>
      <w:r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>городско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>м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округ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>е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>, с. Рыбниковское,</w:t>
      </w:r>
      <w:r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напротив дома №22 по</w:t>
      </w:r>
      <w:r w:rsidR="00B37053" w:rsidRPr="00DC0B00">
        <w:rPr>
          <w:rStyle w:val="ad"/>
          <w:rFonts w:ascii="Times New Roman" w:hAnsi="Times New Roman" w:cs="Times New Roman"/>
          <w:sz w:val="28"/>
          <w:szCs w:val="28"/>
        </w:rPr>
        <w:t xml:space="preserve"> ул.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 Советская, водитель автомобиля «Митсубиси ASX» допустил наезд на </w:t>
      </w:r>
      <w:r w:rsidR="004F460F">
        <w:rPr>
          <w:rStyle w:val="ad"/>
          <w:rFonts w:ascii="Times New Roman" w:hAnsi="Times New Roman" w:cs="Times New Roman"/>
          <w:sz w:val="28"/>
          <w:szCs w:val="28"/>
        </w:rPr>
        <w:t>2-х летнего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C0B00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>автомобиля.</w:t>
      </w:r>
      <w:r w:rsidRPr="00DC0B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полученных травм мальчик скончался на месте происшествия.</w:t>
      </w:r>
      <w:r w:rsidRPr="005951B6">
        <w:rPr>
          <w:rStyle w:val="ad"/>
          <w:rFonts w:ascii="Times New Roman" w:hAnsi="Times New Roman" w:cs="Times New Roman"/>
          <w:sz w:val="28"/>
          <w:szCs w:val="28"/>
        </w:rPr>
        <w:t>Погибший находился в сопровождении 14-летней сестры</w:t>
      </w:r>
      <w:r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и еще троих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дет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ей. 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>П</w:t>
      </w:r>
      <w:r>
        <w:rPr>
          <w:rStyle w:val="ad"/>
          <w:rFonts w:ascii="Times New Roman" w:hAnsi="Times New Roman" w:cs="Times New Roman"/>
          <w:sz w:val="28"/>
          <w:szCs w:val="28"/>
        </w:rPr>
        <w:t>осле прогулки у озера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 xml:space="preserve"> ребята</w:t>
      </w:r>
      <w:r w:rsidR="00A67F54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возвращали</w:t>
      </w:r>
      <w:r w:rsidR="00A67F54">
        <w:rPr>
          <w:rStyle w:val="ad"/>
          <w:rFonts w:ascii="Times New Roman" w:hAnsi="Times New Roman" w:cs="Times New Roman"/>
          <w:sz w:val="28"/>
          <w:szCs w:val="28"/>
        </w:rPr>
        <w:t>сь домой. Двигались по краю проезжей части навстречу движению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. 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Заметив приближающийся автомобиль, дети остановились, </w:t>
      </w:r>
      <w:r w:rsidR="00E27735">
        <w:rPr>
          <w:rStyle w:val="ad"/>
          <w:rFonts w:ascii="Times New Roman" w:hAnsi="Times New Roman" w:cs="Times New Roman"/>
          <w:sz w:val="28"/>
          <w:szCs w:val="28"/>
        </w:rPr>
        <w:t>сестра</w:t>
      </w:r>
      <w:r w:rsidR="00B37053" w:rsidRPr="005951B6">
        <w:rPr>
          <w:rStyle w:val="ad"/>
          <w:rFonts w:ascii="Times New Roman" w:hAnsi="Times New Roman" w:cs="Times New Roman"/>
          <w:sz w:val="28"/>
          <w:szCs w:val="28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="00994B74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5951B6">
        <w:rPr>
          <w:rStyle w:val="ad"/>
          <w:rFonts w:ascii="Times New Roman" w:hAnsi="Times New Roman" w:cs="Times New Roman"/>
          <w:sz w:val="28"/>
          <w:szCs w:val="28"/>
        </w:rPr>
        <w:t>Световозвращающие элементы на одежде детей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F460F" w:rsidRPr="004F460F">
        <w:rPr>
          <w:color w:val="000000" w:themeColor="text1"/>
          <w:sz w:val="28"/>
          <w:szCs w:val="28"/>
        </w:rPr>
        <w:t>5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F460F" w:rsidRPr="004F460F">
        <w:rPr>
          <w:color w:val="000000" w:themeColor="text1"/>
          <w:sz w:val="28"/>
          <w:szCs w:val="28"/>
        </w:rPr>
        <w:t xml:space="preserve"> на 100%:</w:t>
      </w:r>
      <w:r w:rsidR="00994B74">
        <w:rPr>
          <w:color w:val="000000" w:themeColor="text1"/>
          <w:sz w:val="28"/>
          <w:szCs w:val="28"/>
        </w:rPr>
        <w:t xml:space="preserve"> </w:t>
      </w:r>
      <w:r w:rsidR="004F460F" w:rsidRPr="004F460F">
        <w:rPr>
          <w:color w:val="000000" w:themeColor="text1"/>
          <w:sz w:val="28"/>
          <w:szCs w:val="28"/>
        </w:rPr>
        <w:t>Каменск-Уральский 2 ДТП</w:t>
      </w:r>
      <w:r w:rsidR="00C71AA2" w:rsidRPr="004F460F">
        <w:rPr>
          <w:color w:val="000000" w:themeColor="text1"/>
          <w:sz w:val="28"/>
          <w:szCs w:val="28"/>
        </w:rPr>
        <w:t>;</w:t>
      </w:r>
      <w:r w:rsidR="00994B74">
        <w:rPr>
          <w:color w:val="000000" w:themeColor="text1"/>
          <w:sz w:val="28"/>
          <w:szCs w:val="28"/>
        </w:rPr>
        <w:t xml:space="preserve"> </w:t>
      </w:r>
      <w:r w:rsidR="004F460F" w:rsidRPr="004F460F">
        <w:rPr>
          <w:color w:val="000000" w:themeColor="text1"/>
          <w:sz w:val="28"/>
          <w:szCs w:val="28"/>
        </w:rPr>
        <w:t>Арти, Краснотурьинск, Невьянск, Серов по 1 ДТП.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1907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AA2C12" w:rsidRDefault="00AA2C1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A2C12">
        <w:rPr>
          <w:color w:val="000000" w:themeColor="text1"/>
          <w:sz w:val="28"/>
          <w:szCs w:val="28"/>
        </w:rPr>
        <w:t>60</w:t>
      </w:r>
      <w:r w:rsidR="00FF18AF" w:rsidRPr="00AA2C12">
        <w:rPr>
          <w:color w:val="000000" w:themeColor="text1"/>
          <w:sz w:val="28"/>
          <w:szCs w:val="28"/>
        </w:rPr>
        <w:t>% (1</w:t>
      </w:r>
      <w:r w:rsidRPr="00AA2C12">
        <w:rPr>
          <w:color w:val="000000" w:themeColor="text1"/>
          <w:sz w:val="28"/>
          <w:szCs w:val="28"/>
        </w:rPr>
        <w:t>2</w:t>
      </w:r>
      <w:r w:rsidR="00FF18AF" w:rsidRPr="00AA2C12">
        <w:rPr>
          <w:color w:val="000000" w:themeColor="text1"/>
          <w:sz w:val="28"/>
          <w:szCs w:val="28"/>
        </w:rPr>
        <w:t xml:space="preserve">) пострадавшихв ДТП детей приходится на среднее школьное звено, </w:t>
      </w:r>
      <w:r w:rsidRPr="00AA2C12">
        <w:rPr>
          <w:color w:val="000000" w:themeColor="text1"/>
          <w:sz w:val="28"/>
          <w:szCs w:val="28"/>
        </w:rPr>
        <w:t>23</w:t>
      </w:r>
      <w:r w:rsidR="00FF18AF" w:rsidRPr="00AA2C12">
        <w:rPr>
          <w:color w:val="000000" w:themeColor="text1"/>
          <w:sz w:val="28"/>
          <w:szCs w:val="28"/>
        </w:rPr>
        <w:t>% (</w:t>
      </w:r>
      <w:r w:rsidRPr="00AA2C12">
        <w:rPr>
          <w:color w:val="000000" w:themeColor="text1"/>
          <w:sz w:val="28"/>
          <w:szCs w:val="28"/>
        </w:rPr>
        <w:t>5</w:t>
      </w:r>
      <w:r w:rsidR="00FF18AF" w:rsidRPr="00AA2C12">
        <w:rPr>
          <w:color w:val="000000" w:themeColor="text1"/>
          <w:sz w:val="28"/>
          <w:szCs w:val="28"/>
        </w:rPr>
        <w:t xml:space="preserve">) на дошкольный возраст и </w:t>
      </w:r>
      <w:r w:rsidRPr="00AA2C12">
        <w:rPr>
          <w:color w:val="000000" w:themeColor="text1"/>
          <w:sz w:val="28"/>
          <w:szCs w:val="28"/>
        </w:rPr>
        <w:t>17</w:t>
      </w:r>
      <w:r w:rsidR="00FF18AF" w:rsidRPr="00AA2C12">
        <w:rPr>
          <w:color w:val="000000" w:themeColor="text1"/>
          <w:sz w:val="28"/>
          <w:szCs w:val="28"/>
        </w:rPr>
        <w:t>% (</w:t>
      </w:r>
      <w:r w:rsidRPr="00AA2C12">
        <w:rPr>
          <w:color w:val="000000" w:themeColor="text1"/>
          <w:sz w:val="28"/>
          <w:szCs w:val="28"/>
        </w:rPr>
        <w:t>4</w:t>
      </w:r>
      <w:r w:rsidR="00FF18AF" w:rsidRPr="00AA2C12">
        <w:rPr>
          <w:color w:val="000000" w:themeColor="text1"/>
          <w:sz w:val="28"/>
          <w:szCs w:val="28"/>
        </w:rPr>
        <w:t xml:space="preserve">) на начальную школу, при этом большая часть из </w:t>
      </w:r>
      <w:r w:rsidR="00FF18AF" w:rsidRPr="00AA2C12">
        <w:rPr>
          <w:color w:val="000000" w:themeColor="text1"/>
          <w:sz w:val="28"/>
          <w:szCs w:val="28"/>
        </w:rPr>
        <w:lastRenderedPageBreak/>
        <w:t xml:space="preserve">них пострадала в качестве пассажиров транспортных средств. </w:t>
      </w:r>
      <w:r w:rsidR="00FF18AF" w:rsidRPr="00AA2C12">
        <w:rPr>
          <w:color w:val="000000" w:themeColor="text1"/>
          <w:sz w:val="28"/>
          <w:szCs w:val="28"/>
        </w:rPr>
        <w:br/>
      </w:r>
      <w:r w:rsidRPr="00AA2C12">
        <w:rPr>
          <w:color w:val="000000" w:themeColor="text1"/>
          <w:sz w:val="28"/>
          <w:szCs w:val="28"/>
        </w:rPr>
        <w:t>3</w:t>
      </w:r>
      <w:r w:rsidR="00FF18AF" w:rsidRPr="00AA2C12">
        <w:rPr>
          <w:color w:val="000000" w:themeColor="text1"/>
          <w:sz w:val="28"/>
          <w:szCs w:val="28"/>
        </w:rPr>
        <w:t xml:space="preserve"> случая ДТП с пострадавшими детьми-пассажирами произошли по причине нарушения ПДД РФ водителем, в </w:t>
      </w:r>
      <w:r w:rsidRPr="00AA2C12">
        <w:rPr>
          <w:color w:val="000000" w:themeColor="text1"/>
          <w:sz w:val="28"/>
          <w:szCs w:val="28"/>
        </w:rPr>
        <w:t>чьем автомобиле находились дети.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AA2C12">
        <w:rPr>
          <w:sz w:val="28"/>
          <w:szCs w:val="28"/>
        </w:rPr>
        <w:t>50</w:t>
      </w:r>
      <w:r w:rsidRPr="00292D1D">
        <w:rPr>
          <w:sz w:val="28"/>
          <w:szCs w:val="28"/>
        </w:rPr>
        <w:t>% (</w:t>
      </w:r>
      <w:r w:rsidR="00AA2C12">
        <w:rPr>
          <w:sz w:val="28"/>
          <w:szCs w:val="28"/>
        </w:rPr>
        <w:t>13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AA2C12">
        <w:rPr>
          <w:sz w:val="28"/>
          <w:szCs w:val="28"/>
        </w:rPr>
        <w:t>47</w:t>
      </w:r>
      <w:r w:rsidRPr="00292D1D">
        <w:rPr>
          <w:sz w:val="28"/>
          <w:szCs w:val="28"/>
        </w:rPr>
        <w:t>% (</w:t>
      </w:r>
      <w:r w:rsidR="00AA2C12">
        <w:rPr>
          <w:sz w:val="28"/>
          <w:szCs w:val="28"/>
        </w:rPr>
        <w:t>17</w:t>
      </w:r>
      <w:r w:rsidRPr="00292D1D">
        <w:rPr>
          <w:sz w:val="28"/>
          <w:szCs w:val="28"/>
        </w:rPr>
        <w:t>) раненых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1E0B4A">
        <w:rPr>
          <w:color w:val="000000" w:themeColor="text1"/>
          <w:sz w:val="28"/>
          <w:szCs w:val="28"/>
        </w:rPr>
        <w:t>2</w:t>
      </w:r>
      <w:r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A0640" w:rsidRDefault="001E0B4A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="00FF18AF" w:rsidRPr="00FA0640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12</w:t>
      </w:r>
      <w:r w:rsidR="00FF18AF"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FA0640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5</w:t>
      </w:r>
      <w:r w:rsidR="00FF18AF" w:rsidRPr="00FA0640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18</w:t>
      </w:r>
      <w:r w:rsidR="00FF18AF" w:rsidRPr="00FA0640">
        <w:rPr>
          <w:color w:val="000000" w:themeColor="text1"/>
          <w:sz w:val="28"/>
          <w:szCs w:val="28"/>
        </w:rPr>
        <w:t xml:space="preserve"> ч. 00 мин. (</w:t>
      </w:r>
      <w:r>
        <w:rPr>
          <w:color w:val="000000" w:themeColor="text1"/>
          <w:sz w:val="28"/>
          <w:szCs w:val="28"/>
        </w:rPr>
        <w:t>7</w:t>
      </w:r>
      <w:r w:rsidR="00FF18AF" w:rsidRPr="00FA0640">
        <w:rPr>
          <w:color w:val="000000" w:themeColor="text1"/>
          <w:sz w:val="28"/>
          <w:szCs w:val="28"/>
        </w:rPr>
        <w:t xml:space="preserve"> ДТП, </w:t>
      </w:r>
      <w:r>
        <w:rPr>
          <w:color w:val="000000" w:themeColor="text1"/>
          <w:sz w:val="28"/>
          <w:szCs w:val="28"/>
        </w:rPr>
        <w:t>6</w:t>
      </w:r>
      <w:r w:rsidR="00FF18AF"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="00FF18AF"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="00FF18AF"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 xml:space="preserve">детей </w:t>
      </w:r>
      <w:r w:rsidR="00994B74">
        <w:rPr>
          <w:b/>
          <w:i/>
          <w:noProof/>
          <w:sz w:val="28"/>
          <w:szCs w:val="28"/>
        </w:rPr>
        <w:t>–</w:t>
      </w:r>
      <w:r w:rsidR="00FF18AF" w:rsidRPr="00596533">
        <w:rPr>
          <w:b/>
          <w:i/>
          <w:noProof/>
          <w:sz w:val="28"/>
          <w:szCs w:val="28"/>
        </w:rPr>
        <w:t xml:space="preserve"> пассажиров</w:t>
      </w:r>
      <w:r w:rsidR="00994B74">
        <w:rPr>
          <w:b/>
          <w:i/>
          <w:noProof/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B76B76">
        <w:rPr>
          <w:sz w:val="28"/>
          <w:szCs w:val="28"/>
        </w:rPr>
        <w:t>8</w:t>
      </w:r>
      <w:r w:rsidR="00FF18AF" w:rsidRPr="009F4997">
        <w:rPr>
          <w:sz w:val="28"/>
          <w:szCs w:val="28"/>
        </w:rPr>
        <w:t xml:space="preserve"> (</w:t>
      </w:r>
      <w:r w:rsidR="00B76B76">
        <w:rPr>
          <w:sz w:val="28"/>
          <w:szCs w:val="28"/>
        </w:rPr>
        <w:t>19</w:t>
      </w:r>
      <w:r w:rsidR="00FF18AF" w:rsidRPr="009F4997">
        <w:rPr>
          <w:sz w:val="28"/>
          <w:szCs w:val="28"/>
        </w:rPr>
        <w:t>; -</w:t>
      </w:r>
      <w:r w:rsidR="00B76B76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 xml:space="preserve">%) ДТП, в которых пострадали </w:t>
      </w:r>
      <w:r w:rsidR="00B76B76">
        <w:rPr>
          <w:sz w:val="28"/>
          <w:szCs w:val="28"/>
        </w:rPr>
        <w:t>12</w:t>
      </w:r>
      <w:r w:rsidR="00596533" w:rsidRPr="009F4997">
        <w:rPr>
          <w:sz w:val="28"/>
          <w:szCs w:val="28"/>
        </w:rPr>
        <w:t xml:space="preserve"> (2</w:t>
      </w:r>
      <w:r w:rsidR="00B76B76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B76B76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 xml:space="preserve">%) детей. Из них в возрасте до 12 лет травмированы </w:t>
      </w:r>
      <w:r w:rsidR="00B76B76">
        <w:rPr>
          <w:sz w:val="28"/>
          <w:szCs w:val="28"/>
        </w:rPr>
        <w:t>4ребенка</w:t>
      </w:r>
      <w:r w:rsidR="00FF18AF" w:rsidRPr="009F4997">
        <w:rPr>
          <w:sz w:val="28"/>
          <w:szCs w:val="28"/>
        </w:rPr>
        <w:t xml:space="preserve"> (</w:t>
      </w:r>
      <w:r w:rsidR="00B76B76">
        <w:rPr>
          <w:sz w:val="28"/>
          <w:szCs w:val="28"/>
        </w:rPr>
        <w:t>16</w:t>
      </w:r>
      <w:r w:rsidR="00FF18AF" w:rsidRPr="009F4997">
        <w:rPr>
          <w:sz w:val="28"/>
          <w:szCs w:val="28"/>
        </w:rPr>
        <w:t>; -</w:t>
      </w:r>
      <w:r w:rsidR="00B76B76">
        <w:rPr>
          <w:sz w:val="28"/>
          <w:szCs w:val="28"/>
        </w:rPr>
        <w:t>63,2</w:t>
      </w:r>
      <w:r w:rsidR="00FF18AF" w:rsidRPr="009F4997">
        <w:rPr>
          <w:sz w:val="28"/>
          <w:szCs w:val="28"/>
        </w:rPr>
        <w:t xml:space="preserve">%).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40</w:t>
      </w:r>
      <w:r w:rsidRPr="009F4997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 установлено</w:t>
      </w:r>
      <w:r w:rsidR="00B76B76">
        <w:rPr>
          <w:sz w:val="28"/>
          <w:szCs w:val="28"/>
        </w:rPr>
        <w:t xml:space="preserve"> в Екатеринбурге 1</w:t>
      </w:r>
      <w:r w:rsidRPr="00102215">
        <w:rPr>
          <w:sz w:val="28"/>
          <w:szCs w:val="28"/>
        </w:rPr>
        <w:t xml:space="preserve"> нарушени</w:t>
      </w:r>
      <w:r w:rsidR="00B76B76">
        <w:rPr>
          <w:sz w:val="28"/>
          <w:szCs w:val="28"/>
        </w:rPr>
        <w:t>е</w:t>
      </w:r>
      <w:r w:rsidRPr="00102215">
        <w:rPr>
          <w:sz w:val="28"/>
          <w:szCs w:val="28"/>
        </w:rPr>
        <w:t xml:space="preserve"> водител</w:t>
      </w:r>
      <w:r w:rsidR="00B76B76">
        <w:rPr>
          <w:sz w:val="28"/>
          <w:szCs w:val="28"/>
        </w:rPr>
        <w:t>ем</w:t>
      </w:r>
      <w:r w:rsidRPr="00102215">
        <w:rPr>
          <w:sz w:val="28"/>
          <w:szCs w:val="28"/>
        </w:rPr>
        <w:t xml:space="preserve"> правил перевозки детей, в котор</w:t>
      </w:r>
      <w:r w:rsidR="00B76B76">
        <w:rPr>
          <w:sz w:val="28"/>
          <w:szCs w:val="28"/>
        </w:rPr>
        <w:t>ом пострадали</w:t>
      </w:r>
      <w:r w:rsidR="009F4997" w:rsidRPr="00102215">
        <w:rPr>
          <w:sz w:val="28"/>
          <w:szCs w:val="28"/>
        </w:rPr>
        <w:t xml:space="preserve"> 2 ребенка (</w:t>
      </w:r>
      <w:r w:rsidR="00B76B76">
        <w:rPr>
          <w:sz w:val="28"/>
          <w:szCs w:val="28"/>
        </w:rPr>
        <w:t>3</w:t>
      </w:r>
      <w:r w:rsidR="00792C5F">
        <w:rPr>
          <w:sz w:val="28"/>
          <w:szCs w:val="28"/>
        </w:rPr>
        <w:t xml:space="preserve">; </w:t>
      </w:r>
      <w:r w:rsidR="00B76B76">
        <w:rPr>
          <w:sz w:val="28"/>
          <w:szCs w:val="28"/>
        </w:rPr>
        <w:t>-50</w:t>
      </w:r>
      <w:r w:rsidR="00792C5F">
        <w:rPr>
          <w:sz w:val="28"/>
          <w:szCs w:val="28"/>
        </w:rPr>
        <w:t>%)</w:t>
      </w:r>
      <w:r w:rsidR="00B76B76">
        <w:rPr>
          <w:sz w:val="28"/>
          <w:szCs w:val="28"/>
        </w:rPr>
        <w:t xml:space="preserve">. Водитель перевозил детей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По месту расположения детей в транспортном средстве </w:t>
      </w:r>
      <w:r w:rsidR="00EC7DFB">
        <w:rPr>
          <w:sz w:val="28"/>
          <w:szCs w:val="28"/>
        </w:rPr>
        <w:t xml:space="preserve">большая часть </w:t>
      </w:r>
      <w:r w:rsidRPr="00F450CE">
        <w:rPr>
          <w:sz w:val="28"/>
          <w:szCs w:val="28"/>
        </w:rPr>
        <w:t>пострадавших приходится на заднее пассажирское сидение справа (</w:t>
      </w:r>
      <w:r w:rsidR="0090270C">
        <w:rPr>
          <w:sz w:val="28"/>
          <w:szCs w:val="28"/>
        </w:rPr>
        <w:t>7</w:t>
      </w:r>
      <w:r w:rsidRPr="00F450CE">
        <w:rPr>
          <w:sz w:val="28"/>
          <w:szCs w:val="28"/>
        </w:rPr>
        <w:t>)</w:t>
      </w:r>
      <w:r w:rsidR="0090270C">
        <w:rPr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A7C74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3A7C74" w:rsidRPr="003A7C74">
        <w:rPr>
          <w:color w:val="000000" w:themeColor="text1"/>
          <w:sz w:val="28"/>
          <w:szCs w:val="28"/>
        </w:rPr>
        <w:t>5</w:t>
      </w:r>
      <w:r w:rsidRPr="003A7C74">
        <w:rPr>
          <w:color w:val="000000" w:themeColor="text1"/>
          <w:sz w:val="28"/>
          <w:szCs w:val="28"/>
        </w:rPr>
        <w:t>; -</w:t>
      </w:r>
      <w:r w:rsidR="003A7C74" w:rsidRPr="003A7C74">
        <w:rPr>
          <w:color w:val="000000" w:themeColor="text1"/>
          <w:sz w:val="28"/>
          <w:szCs w:val="28"/>
        </w:rPr>
        <w:t>75</w:t>
      </w:r>
      <w:r w:rsidRPr="003A7C74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3A7C74" w:rsidRPr="003A7C74">
        <w:rPr>
          <w:color w:val="000000" w:themeColor="text1"/>
          <w:sz w:val="28"/>
          <w:szCs w:val="28"/>
        </w:rPr>
        <w:t>68</w:t>
      </w:r>
      <w:r w:rsidRPr="003A7C74">
        <w:rPr>
          <w:color w:val="000000" w:themeColor="text1"/>
          <w:sz w:val="28"/>
          <w:szCs w:val="28"/>
        </w:rPr>
        <w:t>% (</w:t>
      </w:r>
      <w:r w:rsidR="003A7C74" w:rsidRPr="003A7C74">
        <w:rPr>
          <w:color w:val="000000" w:themeColor="text1"/>
          <w:sz w:val="28"/>
          <w:szCs w:val="28"/>
        </w:rPr>
        <w:t>8</w:t>
      </w:r>
      <w:r w:rsidRPr="003A7C74">
        <w:rPr>
          <w:color w:val="000000" w:themeColor="text1"/>
          <w:sz w:val="28"/>
          <w:szCs w:val="28"/>
        </w:rPr>
        <w:t xml:space="preserve">).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21.30 (7 ДТП и 11 ранены), с максимальными значениями аварийности в период с 19.00 до 21.30 (4 ДТП, 7 ранены). Большинство аварий происходили в период с пятниц</w:t>
      </w:r>
      <w:r w:rsidR="00B61318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по воскресенье (5 ДТП, 9 ранены).</w:t>
      </w:r>
    </w:p>
    <w:p w:rsidR="00EC7DFB" w:rsidRPr="004F7809" w:rsidRDefault="00EC7DFB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 xml:space="preserve">ных пунктов, зарегистрировано </w:t>
      </w:r>
      <w:r w:rsidR="003A7C74">
        <w:rPr>
          <w:sz w:val="28"/>
          <w:szCs w:val="28"/>
        </w:rPr>
        <w:t>15</w:t>
      </w:r>
      <w:r w:rsidRPr="00F05FE4">
        <w:rPr>
          <w:sz w:val="28"/>
          <w:szCs w:val="28"/>
        </w:rPr>
        <w:t xml:space="preserve"> ДТП (-</w:t>
      </w:r>
      <w:r w:rsidR="003A7C74">
        <w:rPr>
          <w:sz w:val="28"/>
          <w:szCs w:val="28"/>
        </w:rPr>
        <w:t>11</w:t>
      </w:r>
      <w:r w:rsidRPr="00F05FE4">
        <w:rPr>
          <w:sz w:val="28"/>
          <w:szCs w:val="28"/>
        </w:rPr>
        <w:t xml:space="preserve">%), в которых пострадали </w:t>
      </w:r>
      <w:r w:rsidR="003A7C74">
        <w:rPr>
          <w:sz w:val="28"/>
          <w:szCs w:val="28"/>
        </w:rPr>
        <w:t>18</w:t>
      </w:r>
      <w:r w:rsidRPr="00F05FE4">
        <w:rPr>
          <w:sz w:val="28"/>
          <w:szCs w:val="28"/>
        </w:rPr>
        <w:t xml:space="preserve"> (-</w:t>
      </w:r>
      <w:r w:rsidR="003A7C74">
        <w:rPr>
          <w:sz w:val="28"/>
          <w:szCs w:val="28"/>
        </w:rPr>
        <w:t>5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3A7C74">
        <w:rPr>
          <w:sz w:val="28"/>
          <w:szCs w:val="28"/>
        </w:rPr>
        <w:t>1</w:t>
      </w:r>
      <w:r w:rsidR="000E2CE7" w:rsidRPr="00F05FE4">
        <w:rPr>
          <w:sz w:val="28"/>
          <w:szCs w:val="28"/>
        </w:rPr>
        <w:t>погиб</w:t>
      </w:r>
      <w:r w:rsidR="00F05FE4" w:rsidRPr="00F05FE4">
        <w:rPr>
          <w:sz w:val="28"/>
          <w:szCs w:val="28"/>
        </w:rPr>
        <w:t xml:space="preserve"> (</w:t>
      </w:r>
      <w:r w:rsidR="003A7C74">
        <w:rPr>
          <w:sz w:val="28"/>
          <w:szCs w:val="28"/>
        </w:rPr>
        <w:t>+100%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A619FD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ДТП (</w:t>
      </w:r>
      <w:r w:rsidR="00A619FD">
        <w:rPr>
          <w:sz w:val="28"/>
          <w:szCs w:val="28"/>
        </w:rPr>
        <w:t>-80</w:t>
      </w:r>
      <w:r w:rsidRPr="00645F99">
        <w:rPr>
          <w:sz w:val="28"/>
          <w:szCs w:val="28"/>
        </w:rPr>
        <w:t xml:space="preserve">%), травмированы </w:t>
      </w:r>
      <w:r w:rsidR="00A619FD">
        <w:rPr>
          <w:sz w:val="28"/>
          <w:szCs w:val="28"/>
        </w:rPr>
        <w:t>2 (-86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F05FE4">
        <w:rPr>
          <w:sz w:val="28"/>
          <w:szCs w:val="28"/>
        </w:rPr>
        <w:t>. Из них, на дорогах федераль</w:t>
      </w:r>
      <w:r w:rsidR="00A619FD">
        <w:rPr>
          <w:sz w:val="28"/>
          <w:szCs w:val="28"/>
        </w:rPr>
        <w:t>ного значения ДТП не зарегистрированы</w:t>
      </w:r>
      <w:r w:rsidRPr="00F37F64">
        <w:rPr>
          <w:sz w:val="28"/>
          <w:szCs w:val="28"/>
        </w:rPr>
        <w:t xml:space="preserve">. На автомобильных дорогах регионального значения </w:t>
      </w:r>
      <w:r w:rsidR="00EC7DFB">
        <w:rPr>
          <w:sz w:val="28"/>
          <w:szCs w:val="28"/>
        </w:rPr>
        <w:t>произошло</w:t>
      </w:r>
      <w:r w:rsidR="00A619FD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A619FD">
        <w:rPr>
          <w:sz w:val="28"/>
          <w:szCs w:val="28"/>
        </w:rPr>
        <w:t>50</w:t>
      </w:r>
      <w:r w:rsidR="00530177" w:rsidRPr="00F37F64">
        <w:rPr>
          <w:sz w:val="28"/>
          <w:szCs w:val="28"/>
        </w:rPr>
        <w:t xml:space="preserve">%), в которых </w:t>
      </w:r>
      <w:r w:rsidR="00A619FD">
        <w:rPr>
          <w:sz w:val="28"/>
          <w:szCs w:val="28"/>
        </w:rPr>
        <w:t>4</w:t>
      </w:r>
      <w:r w:rsidRPr="00F37F64">
        <w:rPr>
          <w:sz w:val="28"/>
          <w:szCs w:val="28"/>
        </w:rPr>
        <w:t xml:space="preserve"> (</w:t>
      </w:r>
      <w:r w:rsidR="00A619FD">
        <w:rPr>
          <w:sz w:val="28"/>
          <w:szCs w:val="28"/>
        </w:rPr>
        <w:t>-69</w:t>
      </w:r>
      <w:r w:rsidRPr="00F37F64">
        <w:rPr>
          <w:sz w:val="28"/>
          <w:szCs w:val="28"/>
        </w:rPr>
        <w:t xml:space="preserve">%) </w:t>
      </w:r>
      <w:r w:rsidR="00A619FD">
        <w:rPr>
          <w:sz w:val="28"/>
          <w:szCs w:val="28"/>
        </w:rPr>
        <w:t>ребенка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A619FD">
        <w:rPr>
          <w:sz w:val="28"/>
          <w:szCs w:val="28"/>
        </w:rPr>
        <w:t>1</w:t>
      </w:r>
      <w:r w:rsidR="00F37F64" w:rsidRPr="002C2F42">
        <w:rPr>
          <w:sz w:val="28"/>
          <w:szCs w:val="28"/>
        </w:rPr>
        <w:t xml:space="preserve"> погиб</w:t>
      </w:r>
      <w:r w:rsidR="00A619FD">
        <w:rPr>
          <w:sz w:val="28"/>
          <w:szCs w:val="28"/>
        </w:rPr>
        <w:t xml:space="preserve"> (+100</w:t>
      </w:r>
      <w:r w:rsidRPr="002C2F42">
        <w:rPr>
          <w:sz w:val="28"/>
          <w:szCs w:val="28"/>
        </w:rPr>
        <w:t xml:space="preserve">%). На дорогах местного значения зарегистрировано </w:t>
      </w:r>
      <w:r w:rsidR="00A619FD">
        <w:rPr>
          <w:sz w:val="28"/>
          <w:szCs w:val="28"/>
        </w:rPr>
        <w:t>10</w:t>
      </w:r>
      <w:r w:rsidRPr="002C2F42">
        <w:rPr>
          <w:sz w:val="28"/>
          <w:szCs w:val="28"/>
        </w:rPr>
        <w:t xml:space="preserve"> ДТП (- </w:t>
      </w:r>
      <w:r w:rsidR="00A619FD">
        <w:rPr>
          <w:sz w:val="28"/>
          <w:szCs w:val="28"/>
        </w:rPr>
        <w:t>33,3</w:t>
      </w:r>
      <w:r w:rsidRPr="002C2F42">
        <w:rPr>
          <w:sz w:val="28"/>
          <w:szCs w:val="28"/>
        </w:rPr>
        <w:t xml:space="preserve">%), в которых травмированы </w:t>
      </w:r>
      <w:r w:rsidR="00A619FD">
        <w:rPr>
          <w:sz w:val="28"/>
          <w:szCs w:val="28"/>
        </w:rPr>
        <w:t>14</w:t>
      </w:r>
      <w:r w:rsidRPr="002C2F42">
        <w:rPr>
          <w:sz w:val="28"/>
          <w:szCs w:val="28"/>
        </w:rPr>
        <w:t xml:space="preserve"> (-</w:t>
      </w:r>
      <w:r w:rsidR="00A619FD">
        <w:rPr>
          <w:sz w:val="28"/>
          <w:szCs w:val="28"/>
        </w:rPr>
        <w:t>17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="00A619FD">
        <w:rPr>
          <w:sz w:val="28"/>
          <w:szCs w:val="28"/>
        </w:rPr>
        <w:t>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04F8" w:rsidRDefault="00ED04F8" w:rsidP="007548A7">
      <w:pPr>
        <w:ind w:left="-709" w:firstLine="720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ED04F8">
        <w:rPr>
          <w:sz w:val="28"/>
          <w:szCs w:val="28"/>
        </w:rPr>
        <w:t>9</w:t>
      </w:r>
      <w:r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; </w:t>
      </w:r>
      <w:r w:rsidR="00ED04F8">
        <w:rPr>
          <w:sz w:val="28"/>
          <w:szCs w:val="28"/>
        </w:rPr>
        <w:t>+50</w:t>
      </w:r>
      <w:r w:rsidRPr="003F7515">
        <w:rPr>
          <w:sz w:val="28"/>
          <w:szCs w:val="28"/>
        </w:rPr>
        <w:t xml:space="preserve">%) ДТП, в которых пострадали </w:t>
      </w:r>
      <w:r w:rsidR="00ED04F8">
        <w:rPr>
          <w:sz w:val="28"/>
          <w:szCs w:val="28"/>
        </w:rPr>
        <w:t>8</w:t>
      </w:r>
      <w:r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6</w:t>
      </w:r>
      <w:r w:rsidRPr="003F7515">
        <w:rPr>
          <w:sz w:val="28"/>
          <w:szCs w:val="28"/>
        </w:rPr>
        <w:t>; -</w:t>
      </w:r>
      <w:r w:rsidR="00ED04F8">
        <w:rPr>
          <w:sz w:val="28"/>
          <w:szCs w:val="28"/>
        </w:rPr>
        <w:t>14,3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D04F8">
        <w:rPr>
          <w:sz w:val="28"/>
          <w:szCs w:val="28"/>
        </w:rPr>
        <w:t>60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ED014F">
        <w:rPr>
          <w:sz w:val="28"/>
          <w:szCs w:val="28"/>
        </w:rPr>
        <w:t>300</w:t>
      </w:r>
      <w:r w:rsidRPr="00666120">
        <w:rPr>
          <w:sz w:val="28"/>
          <w:szCs w:val="28"/>
        </w:rPr>
        <w:t>% (</w:t>
      </w:r>
      <w:r w:rsidR="00ED014F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и</w:t>
      </w:r>
      <w:r w:rsidR="00ED014F">
        <w:rPr>
          <w:sz w:val="28"/>
          <w:szCs w:val="28"/>
        </w:rPr>
        <w:t xml:space="preserve"> на 200%</w:t>
      </w:r>
      <w:r w:rsidRPr="00666120">
        <w:rPr>
          <w:sz w:val="28"/>
          <w:szCs w:val="28"/>
        </w:rPr>
        <w:t xml:space="preserve"> раненых (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травмированы </w:t>
      </w:r>
      <w:r w:rsidR="00ED014F">
        <w:rPr>
          <w:sz w:val="28"/>
          <w:szCs w:val="28"/>
        </w:rPr>
        <w:t>3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ED014F">
        <w:rPr>
          <w:sz w:val="28"/>
          <w:szCs w:val="28"/>
        </w:rPr>
        <w:t>а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25%)</w:t>
      </w:r>
      <w:r w:rsidRPr="00A0187D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 w:rsidR="009E57F1">
        <w:rPr>
          <w:color w:val="000000" w:themeColor="text1"/>
          <w:sz w:val="28"/>
          <w:szCs w:val="28"/>
        </w:rPr>
        <w:t>200</w:t>
      </w:r>
      <w:r w:rsidRPr="00B9217A">
        <w:rPr>
          <w:color w:val="000000" w:themeColor="text1"/>
          <w:sz w:val="28"/>
          <w:szCs w:val="28"/>
        </w:rPr>
        <w:t>% (</w:t>
      </w:r>
      <w:r w:rsidR="009E57F1">
        <w:rPr>
          <w:color w:val="000000" w:themeColor="text1"/>
          <w:sz w:val="28"/>
          <w:szCs w:val="28"/>
        </w:rPr>
        <w:t>3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световозвращающих элементов. </w:t>
      </w:r>
    </w:p>
    <w:p w:rsidR="009F071D" w:rsidRPr="00B77CE2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7CE2">
        <w:rPr>
          <w:color w:val="000000" w:themeColor="text1"/>
          <w:sz w:val="28"/>
          <w:szCs w:val="28"/>
        </w:rPr>
        <w:t>Участник</w:t>
      </w:r>
      <w:r w:rsidR="00033A30">
        <w:rPr>
          <w:color w:val="000000" w:themeColor="text1"/>
          <w:sz w:val="28"/>
          <w:szCs w:val="28"/>
        </w:rPr>
        <w:t>ами</w:t>
      </w:r>
      <w:r w:rsidRPr="00B77CE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B77CE2">
        <w:rPr>
          <w:color w:val="000000" w:themeColor="text1"/>
          <w:sz w:val="28"/>
          <w:szCs w:val="28"/>
        </w:rPr>
        <w:t>55</w:t>
      </w:r>
      <w:r w:rsidRPr="00B77CE2">
        <w:rPr>
          <w:color w:val="000000" w:themeColor="text1"/>
          <w:sz w:val="28"/>
          <w:szCs w:val="28"/>
        </w:rPr>
        <w:t>%; 5) стали дети</w:t>
      </w:r>
      <w:r w:rsidR="00B77CE2">
        <w:rPr>
          <w:color w:val="000000" w:themeColor="text1"/>
          <w:sz w:val="28"/>
          <w:szCs w:val="28"/>
        </w:rPr>
        <w:t>-пешеходы</w:t>
      </w:r>
      <w:r w:rsidRPr="00B77CE2">
        <w:rPr>
          <w:color w:val="000000" w:themeColor="text1"/>
          <w:sz w:val="28"/>
          <w:szCs w:val="28"/>
        </w:rPr>
        <w:t xml:space="preserve"> в возрасте </w:t>
      </w:r>
      <w:r w:rsidR="00B77CE2" w:rsidRPr="00B77CE2">
        <w:rPr>
          <w:color w:val="000000" w:themeColor="text1"/>
          <w:sz w:val="28"/>
          <w:szCs w:val="28"/>
        </w:rPr>
        <w:t>9</w:t>
      </w:r>
      <w:r w:rsidRPr="00B77CE2">
        <w:rPr>
          <w:color w:val="000000" w:themeColor="text1"/>
          <w:sz w:val="28"/>
          <w:szCs w:val="28"/>
        </w:rPr>
        <w:t xml:space="preserve">-11 лет. </w:t>
      </w:r>
      <w:r w:rsidR="00B77CE2" w:rsidRPr="00B77CE2">
        <w:rPr>
          <w:color w:val="000000" w:themeColor="text1"/>
          <w:sz w:val="28"/>
          <w:szCs w:val="28"/>
        </w:rPr>
        <w:t>В</w:t>
      </w:r>
      <w:r w:rsidRPr="00B77CE2">
        <w:rPr>
          <w:color w:val="000000" w:themeColor="text1"/>
          <w:sz w:val="28"/>
          <w:szCs w:val="28"/>
        </w:rPr>
        <w:t xml:space="preserve">се </w:t>
      </w:r>
      <w:r w:rsidR="00B77CE2" w:rsidRPr="00B77CE2">
        <w:rPr>
          <w:color w:val="000000" w:themeColor="text1"/>
          <w:sz w:val="28"/>
          <w:szCs w:val="28"/>
        </w:rPr>
        <w:t>наезды</w:t>
      </w:r>
      <w:r w:rsidRPr="00B77CE2">
        <w:rPr>
          <w:color w:val="000000" w:themeColor="text1"/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 в </w:t>
      </w:r>
      <w:r w:rsidR="00B77CE2" w:rsidRPr="00B77CE2">
        <w:rPr>
          <w:color w:val="000000" w:themeColor="text1"/>
          <w:sz w:val="28"/>
          <w:szCs w:val="28"/>
        </w:rPr>
        <w:t>субботу</w:t>
      </w:r>
      <w:r w:rsidRPr="00B77CE2">
        <w:rPr>
          <w:color w:val="000000" w:themeColor="text1"/>
          <w:sz w:val="28"/>
          <w:szCs w:val="28"/>
        </w:rPr>
        <w:t xml:space="preserve"> (</w:t>
      </w:r>
      <w:r w:rsidR="00B77CE2" w:rsidRPr="00B77CE2">
        <w:rPr>
          <w:color w:val="000000" w:themeColor="text1"/>
          <w:sz w:val="28"/>
          <w:szCs w:val="28"/>
        </w:rPr>
        <w:t>3</w:t>
      </w:r>
      <w:r w:rsidRPr="00B77CE2">
        <w:rPr>
          <w:color w:val="000000" w:themeColor="text1"/>
          <w:sz w:val="28"/>
          <w:szCs w:val="28"/>
        </w:rPr>
        <w:t xml:space="preserve"> ДТП)</w:t>
      </w:r>
      <w:r w:rsidR="00B77CE2" w:rsidRPr="00B77CE2">
        <w:rPr>
          <w:color w:val="000000" w:themeColor="text1"/>
          <w:sz w:val="28"/>
          <w:szCs w:val="28"/>
        </w:rPr>
        <w:t>, при этом 1 ребенок погиб</w:t>
      </w:r>
      <w:r w:rsidRPr="00B77CE2">
        <w:rPr>
          <w:color w:val="000000" w:themeColor="text1"/>
          <w:sz w:val="28"/>
          <w:szCs w:val="28"/>
        </w:rPr>
        <w:t>. По времени совершения самым опасным является с 1</w:t>
      </w:r>
      <w:r w:rsidR="00B77CE2" w:rsidRPr="00B77CE2">
        <w:rPr>
          <w:color w:val="000000" w:themeColor="text1"/>
          <w:sz w:val="28"/>
          <w:szCs w:val="28"/>
        </w:rPr>
        <w:t>5</w:t>
      </w:r>
      <w:r w:rsidRPr="00B77CE2">
        <w:rPr>
          <w:color w:val="000000" w:themeColor="text1"/>
          <w:sz w:val="28"/>
          <w:szCs w:val="28"/>
        </w:rPr>
        <w:t xml:space="preserve"> до </w:t>
      </w:r>
      <w:r w:rsidR="00B77CE2" w:rsidRPr="00B77CE2">
        <w:rPr>
          <w:color w:val="000000" w:themeColor="text1"/>
          <w:sz w:val="28"/>
          <w:szCs w:val="28"/>
        </w:rPr>
        <w:t>18</w:t>
      </w:r>
      <w:r w:rsidRPr="00B77CE2">
        <w:rPr>
          <w:color w:val="000000" w:themeColor="text1"/>
          <w:sz w:val="28"/>
          <w:szCs w:val="28"/>
        </w:rPr>
        <w:t xml:space="preserve"> часов (</w:t>
      </w:r>
      <w:r w:rsidR="00B77CE2" w:rsidRPr="00B77CE2">
        <w:rPr>
          <w:color w:val="000000" w:themeColor="text1"/>
          <w:sz w:val="28"/>
          <w:szCs w:val="28"/>
        </w:rPr>
        <w:t>6</w:t>
      </w:r>
      <w:r w:rsidRPr="00B77CE2">
        <w:rPr>
          <w:color w:val="000000" w:themeColor="text1"/>
          <w:sz w:val="28"/>
          <w:szCs w:val="28"/>
        </w:rPr>
        <w:t xml:space="preserve"> ДТП; </w:t>
      </w:r>
      <w:r w:rsidR="00B77CE2" w:rsidRPr="00B77CE2">
        <w:rPr>
          <w:color w:val="000000" w:themeColor="text1"/>
          <w:sz w:val="28"/>
          <w:szCs w:val="28"/>
        </w:rPr>
        <w:t>66</w:t>
      </w:r>
      <w:r w:rsidRPr="00B77CE2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B77CE2">
        <w:rPr>
          <w:color w:val="000000" w:themeColor="text1"/>
          <w:sz w:val="28"/>
          <w:szCs w:val="28"/>
        </w:rPr>
        <w:t>6</w:t>
      </w:r>
      <w:r w:rsidRPr="00B77CE2">
        <w:rPr>
          <w:color w:val="000000" w:themeColor="text1"/>
          <w:sz w:val="28"/>
          <w:szCs w:val="28"/>
        </w:rPr>
        <w:t xml:space="preserve"> до </w:t>
      </w:r>
      <w:r w:rsidR="00B77CE2" w:rsidRPr="00B77CE2">
        <w:rPr>
          <w:color w:val="000000" w:themeColor="text1"/>
          <w:sz w:val="28"/>
          <w:szCs w:val="28"/>
        </w:rPr>
        <w:t>18</w:t>
      </w:r>
      <w:r w:rsidRPr="00B77CE2">
        <w:rPr>
          <w:color w:val="000000" w:themeColor="text1"/>
          <w:sz w:val="28"/>
          <w:szCs w:val="28"/>
        </w:rPr>
        <w:t xml:space="preserve"> часов (</w:t>
      </w:r>
      <w:r w:rsidR="00B77CE2" w:rsidRPr="00B77CE2">
        <w:rPr>
          <w:color w:val="000000" w:themeColor="text1"/>
          <w:sz w:val="28"/>
          <w:szCs w:val="28"/>
        </w:rPr>
        <w:t>5 ДТП</w:t>
      </w:r>
      <w:r w:rsidRPr="00B77CE2">
        <w:rPr>
          <w:color w:val="000000" w:themeColor="text1"/>
          <w:sz w:val="28"/>
          <w:szCs w:val="28"/>
        </w:rPr>
        <w:t xml:space="preserve">). Минимальное количество ДТП по времени совершения произошло в период с 0 до </w:t>
      </w:r>
      <w:r w:rsidR="00B77CE2" w:rsidRPr="00B77CE2">
        <w:rPr>
          <w:color w:val="000000" w:themeColor="text1"/>
          <w:sz w:val="28"/>
          <w:szCs w:val="28"/>
        </w:rPr>
        <w:t>15</w:t>
      </w:r>
      <w:r w:rsidRPr="00B77CE2">
        <w:rPr>
          <w:color w:val="000000" w:themeColor="text1"/>
          <w:sz w:val="28"/>
          <w:szCs w:val="28"/>
        </w:rPr>
        <w:t xml:space="preserve"> часов (1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B77CE2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B77CE2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количества ДТП на </w:t>
      </w:r>
      <w:r w:rsidR="00B77CE2" w:rsidRPr="00B77CE2">
        <w:rPr>
          <w:color w:val="000000" w:themeColor="text1"/>
          <w:sz w:val="28"/>
          <w:szCs w:val="28"/>
        </w:rPr>
        <w:t xml:space="preserve">37% </w:t>
      </w:r>
      <w:r w:rsidRPr="00B77CE2">
        <w:rPr>
          <w:color w:val="000000" w:themeColor="text1"/>
          <w:sz w:val="28"/>
          <w:szCs w:val="28"/>
        </w:rPr>
        <w:t xml:space="preserve">и травмированных на </w:t>
      </w:r>
      <w:r w:rsidR="00B77CE2" w:rsidRPr="00B77CE2">
        <w:rPr>
          <w:color w:val="000000" w:themeColor="text1"/>
          <w:sz w:val="28"/>
          <w:szCs w:val="28"/>
        </w:rPr>
        <w:t xml:space="preserve">39,4%. При этом количество погибших выросло на 100%.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EC7DFB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B77CE2" w:rsidRPr="00EC7DFB">
        <w:rPr>
          <w:color w:val="000000" w:themeColor="text1"/>
          <w:sz w:val="28"/>
          <w:szCs w:val="28"/>
        </w:rPr>
        <w:t>4</w:t>
      </w:r>
      <w:r w:rsidRPr="00EC7DFB">
        <w:rPr>
          <w:color w:val="000000" w:themeColor="text1"/>
          <w:sz w:val="28"/>
          <w:szCs w:val="28"/>
        </w:rPr>
        <w:t xml:space="preserve"> ДТП из </w:t>
      </w:r>
      <w:r w:rsidR="00B77CE2" w:rsidRPr="00EC7DFB">
        <w:rPr>
          <w:color w:val="000000" w:themeColor="text1"/>
          <w:sz w:val="28"/>
          <w:szCs w:val="28"/>
        </w:rPr>
        <w:t>17</w:t>
      </w:r>
      <w:r w:rsidRPr="00EC7DFB">
        <w:rPr>
          <w:color w:val="000000" w:themeColor="text1"/>
          <w:sz w:val="28"/>
          <w:szCs w:val="28"/>
        </w:rPr>
        <w:t xml:space="preserve"> и составляет </w:t>
      </w:r>
      <w:r w:rsidR="00EC7DFB" w:rsidRPr="00EC7DFB">
        <w:rPr>
          <w:color w:val="000000" w:themeColor="text1"/>
          <w:sz w:val="28"/>
          <w:szCs w:val="28"/>
        </w:rPr>
        <w:t>23</w:t>
      </w:r>
      <w:r w:rsidRPr="00EC7DFB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EC7DFB">
        <w:rPr>
          <w:color w:val="000000" w:themeColor="text1"/>
          <w:sz w:val="28"/>
          <w:szCs w:val="28"/>
        </w:rPr>
        <w:t>дорожных аварий с участием детей</w:t>
      </w:r>
      <w:r w:rsidRPr="00EC7DFB">
        <w:rPr>
          <w:color w:val="000000" w:themeColor="text1"/>
          <w:sz w:val="28"/>
          <w:szCs w:val="28"/>
        </w:rPr>
        <w:t xml:space="preserve">: Екатеринбург </w:t>
      </w:r>
      <w:r w:rsidR="00EC7DFB" w:rsidRPr="00EC7DFB">
        <w:rPr>
          <w:color w:val="000000" w:themeColor="text1"/>
          <w:sz w:val="28"/>
          <w:szCs w:val="28"/>
        </w:rPr>
        <w:t>2</w:t>
      </w:r>
      <w:r w:rsidRPr="00EC7DFB">
        <w:rPr>
          <w:color w:val="000000" w:themeColor="text1"/>
          <w:sz w:val="28"/>
          <w:szCs w:val="28"/>
        </w:rPr>
        <w:t xml:space="preserve"> (</w:t>
      </w:r>
      <w:r w:rsidR="00715015" w:rsidRPr="00EC7DFB">
        <w:rPr>
          <w:color w:val="000000" w:themeColor="text1"/>
          <w:sz w:val="28"/>
          <w:szCs w:val="28"/>
        </w:rPr>
        <w:t>+</w:t>
      </w:r>
      <w:r w:rsidR="00EC7DFB" w:rsidRPr="00EC7DFB">
        <w:rPr>
          <w:color w:val="000000" w:themeColor="text1"/>
          <w:sz w:val="28"/>
          <w:szCs w:val="28"/>
        </w:rPr>
        <w:t>100</w:t>
      </w:r>
      <w:r w:rsidRPr="00EC7DFB">
        <w:rPr>
          <w:color w:val="000000" w:themeColor="text1"/>
          <w:sz w:val="28"/>
          <w:szCs w:val="28"/>
        </w:rPr>
        <w:t>%)</w:t>
      </w:r>
      <w:r w:rsidR="00033A30">
        <w:rPr>
          <w:color w:val="000000" w:themeColor="text1"/>
          <w:sz w:val="28"/>
          <w:szCs w:val="28"/>
        </w:rPr>
        <w:t>,</w:t>
      </w:r>
      <w:r w:rsidR="00EC7DFB" w:rsidRPr="00EC7DFB">
        <w:rPr>
          <w:color w:val="000000" w:themeColor="text1"/>
          <w:sz w:val="28"/>
          <w:szCs w:val="28"/>
        </w:rPr>
        <w:t>Арти1</w:t>
      </w:r>
      <w:r w:rsidRPr="00EC7DFB">
        <w:rPr>
          <w:color w:val="000000" w:themeColor="text1"/>
          <w:sz w:val="28"/>
          <w:szCs w:val="28"/>
        </w:rPr>
        <w:t xml:space="preserve"> (+</w:t>
      </w:r>
      <w:r w:rsidR="00EC7DFB" w:rsidRPr="00EC7DFB">
        <w:rPr>
          <w:color w:val="000000" w:themeColor="text1"/>
          <w:sz w:val="28"/>
          <w:szCs w:val="28"/>
        </w:rPr>
        <w:t>100%)</w:t>
      </w:r>
      <w:r w:rsidR="00033A30">
        <w:rPr>
          <w:color w:val="000000" w:themeColor="text1"/>
          <w:sz w:val="28"/>
          <w:szCs w:val="28"/>
        </w:rPr>
        <w:t xml:space="preserve">, </w:t>
      </w:r>
      <w:r w:rsidR="00033A30" w:rsidRPr="00EC7DFB">
        <w:rPr>
          <w:color w:val="000000" w:themeColor="text1"/>
          <w:sz w:val="28"/>
          <w:szCs w:val="28"/>
        </w:rPr>
        <w:t>Каменск-Уральский 1 погиб (+100%)</w:t>
      </w:r>
      <w:r w:rsidRPr="00EC7DFB">
        <w:rPr>
          <w:color w:val="000000" w:themeColor="text1"/>
          <w:sz w:val="28"/>
          <w:szCs w:val="28"/>
        </w:rPr>
        <w:t>. Основным нарушени</w:t>
      </w:r>
      <w:r w:rsidR="00EC7DFB" w:rsidRPr="00EC7DFB">
        <w:rPr>
          <w:color w:val="000000" w:themeColor="text1"/>
          <w:sz w:val="28"/>
          <w:szCs w:val="28"/>
        </w:rPr>
        <w:t>ем</w:t>
      </w:r>
      <w:r w:rsidRPr="00EC7DFB">
        <w:rPr>
          <w:color w:val="000000" w:themeColor="text1"/>
          <w:sz w:val="28"/>
          <w:szCs w:val="28"/>
        </w:rPr>
        <w:t xml:space="preserve"> ПДД РФ, допущенным</w:t>
      </w:r>
      <w:r w:rsidR="00EC7DFB" w:rsidRPr="00EC7DFB">
        <w:rPr>
          <w:color w:val="000000" w:themeColor="text1"/>
          <w:sz w:val="28"/>
          <w:szCs w:val="28"/>
        </w:rPr>
        <w:t xml:space="preserve"> юными пешеходами</w:t>
      </w:r>
      <w:r w:rsidRPr="00EC7DFB">
        <w:rPr>
          <w:color w:val="000000" w:themeColor="text1"/>
          <w:sz w:val="28"/>
          <w:szCs w:val="28"/>
        </w:rPr>
        <w:t>, сталпереход проезжей части в неустановленном месте (</w:t>
      </w:r>
      <w:r w:rsidR="00EC7DFB" w:rsidRPr="00EC7DFB">
        <w:rPr>
          <w:color w:val="000000" w:themeColor="text1"/>
          <w:sz w:val="28"/>
          <w:szCs w:val="28"/>
        </w:rPr>
        <w:t>4).</w:t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снегокатов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994B7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. 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пешеходов</w:t>
      </w:r>
      <w:r w:rsidR="0073426D" w:rsidRPr="000E2CE7">
        <w:rPr>
          <w:sz w:val="28"/>
          <w:szCs w:val="28"/>
        </w:rPr>
        <w:t>, в том числе перевозящих детей в колясках, санках</w:t>
      </w:r>
      <w:r w:rsidR="001279D8" w:rsidRPr="000E2CE7">
        <w:rPr>
          <w:sz w:val="28"/>
          <w:szCs w:val="28"/>
        </w:rPr>
        <w:t>), обеспечение безопасности детей на дорогах. К проведению мероприятий привлечь представителей общественных организаций, популярных блогеров, отряды юных инспекторов движения, волонтерские движения.</w:t>
      </w:r>
    </w:p>
    <w:p w:rsidR="001279D8" w:rsidRPr="000E2CE7" w:rsidRDefault="00994B74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53" w:rsidRDefault="00CB3253" w:rsidP="00874A55">
      <w:r>
        <w:separator/>
      </w:r>
    </w:p>
  </w:endnote>
  <w:endnote w:type="continuationSeparator" w:id="0">
    <w:p w:rsidR="00CB3253" w:rsidRDefault="00CB3253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53" w:rsidRDefault="00CB3253" w:rsidP="00874A55">
      <w:r>
        <w:separator/>
      </w:r>
    </w:p>
  </w:footnote>
  <w:footnote w:type="continuationSeparator" w:id="0">
    <w:p w:rsidR="00CB3253" w:rsidRDefault="00CB3253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7A0C9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41262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57FA5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0C96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4B74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B3253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262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95F2"/>
  <w15:docId w15:val="{BCD89780-757E-4F9E-899F-96517AEA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3C-4A3D-B00D-0C35F506D8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83C-4A3D-B00D-0C35F506D8B7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83C-4A3D-B00D-0C35F506D8B7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83C-4A3D-B00D-0C35F506D8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1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3C-4A3D-B00D-0C35F506D8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377408"/>
        <c:axId val="65378944"/>
        <c:axId val="0"/>
      </c:bar3DChart>
      <c:catAx>
        <c:axId val="6537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78944"/>
        <c:crosses val="autoZero"/>
        <c:auto val="1"/>
        <c:lblAlgn val="ctr"/>
        <c:lblOffset val="100"/>
        <c:noMultiLvlLbl val="0"/>
      </c:catAx>
      <c:valAx>
        <c:axId val="6537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37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E15B-43C1-81BC-C743815E5D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15B-43C1-81BC-C743815E5D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15B-43C1-81BC-C743815E5D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15B-43C1-81BC-C743815E5D5F}"/>
              </c:ext>
            </c:extLst>
          </c:dPt>
          <c:dLbls>
            <c:dLbl>
              <c:idx val="0"/>
              <c:layout>
                <c:manualLayout>
                  <c:x val="0.10782638120648148"/>
                  <c:y val="-6.16955114113273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5B-43C1-81BC-C743815E5D5F}"/>
                </c:ext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15B-43C1-81BC-C743815E5D5F}"/>
                </c:ext>
              </c:extLst>
            </c:dLbl>
            <c:dLbl>
              <c:idx val="2"/>
              <c:layout>
                <c:manualLayout>
                  <c:x val="-7.4602633348517425E-2"/>
                  <c:y val="-9.10454721078650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15B-43C1-81BC-C743815E5D5F}"/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5B-43C1-81BC-C743815E5D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15B-43C1-81BC-C743815E5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01-4236-B62E-E406039D2A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01-4236-B62E-E406039D2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01-4236-B62E-E406039D2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8343296"/>
        <c:axId val="108344832"/>
      </c:barChart>
      <c:catAx>
        <c:axId val="108343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44832"/>
        <c:crosses val="autoZero"/>
        <c:auto val="1"/>
        <c:lblAlgn val="ctr"/>
        <c:lblOffset val="100"/>
        <c:noMultiLvlLbl val="0"/>
      </c:catAx>
      <c:valAx>
        <c:axId val="108344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4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15A-417A-A61D-D98CA8C4A82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15A-417A-A61D-D98CA8C4A82D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5A-417A-A61D-D98CA8C4A82D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5A-417A-A61D-D98CA8C4A8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5A-417A-A61D-D98CA8C4A8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98E-2"/>
          <c:y val="5.95464028534895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E53-4B98-8AC9-EDA1CAC102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E53-4B98-8AC9-EDA1CAC10244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53-4B98-8AC9-EDA1CAC10244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3-4B98-8AC9-EDA1CAC102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53-4B98-8AC9-EDA1CAC10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FD8F-49E9-BCE8-A4D259E3E1D6}"/>
              </c:ext>
            </c:extLst>
          </c:dPt>
          <c:dPt>
            <c:idx val="1"/>
            <c:bubble3D val="0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8F-49E9-BCE8-A4D259E3E1D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FD8F-49E9-BCE8-A4D259E3E1D6}"/>
              </c:ext>
            </c:extLst>
          </c:dPt>
          <c:dLbls>
            <c:dLbl>
              <c:idx val="0"/>
              <c:layout>
                <c:manualLayout>
                  <c:x val="5.1841717310933413E-2"/>
                  <c:y val="7.57009998027703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367434-FCC1-47BC-AC4B-28A4FAB6EB05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8220380302291563E-2"/>
                      <c:h val="0.2232755298651252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D8F-49E9-BCE8-A4D259E3E1D6}"/>
                </c:ext>
              </c:extLst>
            </c:dLbl>
            <c:dLbl>
              <c:idx val="1"/>
              <c:layout>
                <c:manualLayout>
                  <c:x val="5.1194539249146798E-2"/>
                  <c:y val="-3.08285163776493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F614ED4-3FA2-48F6-A79E-87CBBF56330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D8F-49E9-BCE8-A4D259E3E1D6}"/>
                </c:ext>
              </c:extLst>
            </c:dLbl>
            <c:dLbl>
              <c:idx val="2"/>
              <c:layout>
                <c:manualLayout>
                  <c:x val="-8.7762067284251594E-2"/>
                  <c:y val="-2.420038535645473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74305216967334"/>
                      <c:h val="0.273603082851637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FD8F-49E9-BCE8-A4D259E3E1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Арти</c:v>
                </c:pt>
                <c:pt idx="1">
                  <c:v>Каменск-Уральский</c:v>
                </c:pt>
                <c:pt idx="2">
                  <c:v>Екатеринбург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8F-49E9-BCE8-A4D259E3E1D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B58-4045-ADE1-284007DEA0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Серовский</c:v>
                </c:pt>
                <c:pt idx="1">
                  <c:v>Невьянский</c:v>
                </c:pt>
                <c:pt idx="2">
                  <c:v>Краснотурьинский</c:v>
                </c:pt>
                <c:pt idx="3">
                  <c:v>Артинский</c:v>
                </c:pt>
                <c:pt idx="4">
                  <c:v>Каменск-Уральский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58-4045-ADE1-284007DEA0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Серовский</c:v>
                </c:pt>
                <c:pt idx="1">
                  <c:v>Невьянский</c:v>
                </c:pt>
                <c:pt idx="2">
                  <c:v>Краснотурьинский</c:v>
                </c:pt>
                <c:pt idx="3">
                  <c:v>Артинский</c:v>
                </c:pt>
                <c:pt idx="4">
                  <c:v>Каменск-Уральский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58-4045-ADE1-284007DEA0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6602112"/>
        <c:axId val="66026880"/>
      </c:barChart>
      <c:valAx>
        <c:axId val="66026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602112"/>
        <c:crosses val="autoZero"/>
        <c:crossBetween val="between"/>
      </c:valAx>
      <c:catAx>
        <c:axId val="6660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268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535-478B-BE93-D8757511AC7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35-478B-BE93-D8757511AC7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535-478B-BE93-D8757511AC71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35-478B-BE93-D8757511AC71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35-478B-BE93-D8757511AC71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35-478B-BE93-D8757511AC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35-478B-BE93-D8757511AC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76F-44B3-BDDB-38F966955636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6F-44B3-BDDB-38F966955636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6F-44B3-BDDB-38F966955636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6F-44B3-BDDB-38F9669556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6F-44B3-BDDB-38F9669556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FF-4FAC-9803-C965A00B59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FF-4FAC-9803-C965A00B596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FF-4FAC-9803-C965A00B59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6029440"/>
        <c:axId val="66030976"/>
      </c:barChart>
      <c:catAx>
        <c:axId val="6602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30976"/>
        <c:crosses val="autoZero"/>
        <c:auto val="1"/>
        <c:lblAlgn val="ctr"/>
        <c:lblOffset val="100"/>
        <c:noMultiLvlLbl val="0"/>
      </c:catAx>
      <c:valAx>
        <c:axId val="6603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2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A3-4D8B-906C-62EB131272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A3-4D8B-906C-62EB131272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A3-4D8B-906C-62EB131272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8300160"/>
        <c:axId val="108301696"/>
      </c:barChart>
      <c:catAx>
        <c:axId val="10830016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01696"/>
        <c:crosses val="autoZero"/>
        <c:auto val="1"/>
        <c:lblAlgn val="ctr"/>
        <c:lblOffset val="100"/>
        <c:tickLblSkip val="1"/>
        <c:noMultiLvlLbl val="0"/>
      </c:catAx>
      <c:valAx>
        <c:axId val="10830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0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80-4FE2-9255-5C9C6A654F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80-4FE2-9255-5C9C6A654F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80-4FE2-9255-5C9C6A654F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06760064"/>
        <c:axId val="106761600"/>
      </c:barChart>
      <c:catAx>
        <c:axId val="10676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61600"/>
        <c:crosses val="autoZero"/>
        <c:auto val="1"/>
        <c:lblAlgn val="ctr"/>
        <c:lblOffset val="100"/>
        <c:noMultiLvlLbl val="0"/>
      </c:catAx>
      <c:valAx>
        <c:axId val="10676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76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8A1E-49BF-93AD-31167270E8D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1E-49BF-93AD-31167270E8D9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1E-49BF-93AD-31167270E8D9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1E-49BF-93AD-31167270E8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1E-49BF-93AD-31167270E8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596B-4E7D-BBCF-E369A24F6E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6B-4E7D-BBCF-E369A24F6E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596B-4E7D-BBCF-E369A24F6E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96B-4E7D-BBCF-E369A24F6E6D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6B-4E7D-BBCF-E369A24F6E6D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6B-4E7D-BBCF-E369A24F6E6D}"/>
                </c:ext>
              </c:extLst>
            </c:dLbl>
            <c:dLbl>
              <c:idx val="2"/>
              <c:layout>
                <c:manualLayout>
                  <c:x val="4.2053838747543509E-2"/>
                  <c:y val="-1.87288056882798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6B-4E7D-BBCF-E369A24F6E6D}"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6B-4E7D-BBCF-E369A24F6E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6B-4E7D-BBCF-E369A24F6E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C951-9A59-43B3-AD91-294719FF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2021-02-11T05:26:00Z</cp:lastPrinted>
  <dcterms:created xsi:type="dcterms:W3CDTF">2022-11-01T18:43:00Z</dcterms:created>
  <dcterms:modified xsi:type="dcterms:W3CDTF">2022-11-01T18:43:00Z</dcterms:modified>
</cp:coreProperties>
</file>